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D338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338A" w:rsidRDefault="0030727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38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D338A" w:rsidRDefault="0030727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Новгородской области от 07.07.2025 N 240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выделения работодателем рабочего места в пределах установленной квоты и выполнения работодателями квоты для приема на работу граждан, завершивших военную службу"</w:t>
            </w:r>
          </w:p>
        </w:tc>
      </w:tr>
      <w:tr w:rsidR="004D338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D338A" w:rsidRDefault="0030727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4D338A" w:rsidRDefault="004D338A">
      <w:pPr>
        <w:pStyle w:val="ConsPlusNormal0"/>
        <w:sectPr w:rsidR="004D338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D338A" w:rsidRDefault="004D338A">
      <w:pPr>
        <w:pStyle w:val="ConsPlusNormal0"/>
        <w:jc w:val="both"/>
        <w:outlineLvl w:val="0"/>
      </w:pPr>
    </w:p>
    <w:p w:rsidR="004D338A" w:rsidRDefault="00307276">
      <w:pPr>
        <w:pStyle w:val="ConsPlusTitle0"/>
        <w:jc w:val="center"/>
        <w:outlineLvl w:val="0"/>
      </w:pPr>
      <w:r>
        <w:t>ПРАВИТЕЛЬСТВО НОВГОРОДСКОЙ ОБЛАСТИ</w:t>
      </w:r>
    </w:p>
    <w:p w:rsidR="004D338A" w:rsidRDefault="004D338A">
      <w:pPr>
        <w:pStyle w:val="ConsPlusTitle0"/>
        <w:jc w:val="center"/>
      </w:pPr>
    </w:p>
    <w:p w:rsidR="004D338A" w:rsidRDefault="00307276">
      <w:pPr>
        <w:pStyle w:val="ConsPlusTitle0"/>
        <w:jc w:val="center"/>
      </w:pPr>
      <w:r>
        <w:t>ПОСТАНОВЛЕНИЕ</w:t>
      </w:r>
    </w:p>
    <w:p w:rsidR="004D338A" w:rsidRDefault="00307276">
      <w:pPr>
        <w:pStyle w:val="ConsPlusTitle0"/>
        <w:jc w:val="center"/>
      </w:pPr>
      <w:r>
        <w:t>от 7 июля 2025 г. N 240</w:t>
      </w:r>
    </w:p>
    <w:p w:rsidR="004D338A" w:rsidRDefault="004D338A">
      <w:pPr>
        <w:pStyle w:val="ConsPlusTitle0"/>
        <w:jc w:val="center"/>
      </w:pPr>
    </w:p>
    <w:p w:rsidR="004D338A" w:rsidRDefault="00307276">
      <w:pPr>
        <w:pStyle w:val="ConsPlusTitle0"/>
        <w:jc w:val="center"/>
      </w:pPr>
      <w:r>
        <w:t>ОБ УТВЕРЖДЕНИИ ПОРЯДКА ВЫДЕЛЕНИЯ РАБОТОДАТЕЛЕМ РАБОЧЕГО</w:t>
      </w:r>
    </w:p>
    <w:p w:rsidR="004D338A" w:rsidRDefault="00307276">
      <w:pPr>
        <w:pStyle w:val="ConsPlusTitle0"/>
        <w:jc w:val="center"/>
      </w:pPr>
      <w:r>
        <w:t>МЕСТА В ПРЕДЕЛАХ УСТАНОВЛЕННОЙ КВОТЫ И ВЫПОЛНЕНИЯ</w:t>
      </w:r>
    </w:p>
    <w:p w:rsidR="004D338A" w:rsidRDefault="00307276">
      <w:pPr>
        <w:pStyle w:val="ConsPlusTitle0"/>
        <w:jc w:val="center"/>
      </w:pPr>
      <w:r>
        <w:t>РАБОТОДАТЕЛЯМИ КВОТЫ ДЛЯ ПРИЕМА НА РАБОТУ ГРАЖДАН,</w:t>
      </w:r>
    </w:p>
    <w:p w:rsidR="004D338A" w:rsidRDefault="00307276">
      <w:pPr>
        <w:pStyle w:val="ConsPlusTitle0"/>
        <w:jc w:val="center"/>
      </w:pPr>
      <w:r>
        <w:t>ЗАВЕРШИВШИХ ВОЕННУЮ СЛУЖБУ</w:t>
      </w:r>
    </w:p>
    <w:p w:rsidR="004D338A" w:rsidRDefault="004D338A">
      <w:pPr>
        <w:pStyle w:val="ConsPlusNormal0"/>
        <w:jc w:val="both"/>
      </w:pPr>
    </w:p>
    <w:p w:rsidR="004D338A" w:rsidRDefault="00307276">
      <w:pPr>
        <w:pStyle w:val="ConsPlusNormal0"/>
        <w:ind w:firstLine="540"/>
        <w:jc w:val="both"/>
      </w:pPr>
      <w:r>
        <w:t xml:space="preserve">В соответствии с областным </w:t>
      </w:r>
      <w:hyperlink r:id="rId10" w:tooltip="Областной закон Новгородской области от 26.12.2024 N 621-ОЗ &quot;Об установлении на территории Новгородской области квоты для приема на работу граждан, завершивших военную службу&quot; (принят Постановлением Новгородской областной Думы от 25.12.2024 N 947-7 ОД) {Консул">
        <w:r>
          <w:rPr>
            <w:color w:val="0000FF"/>
          </w:rPr>
          <w:t>законом</w:t>
        </w:r>
      </w:hyperlink>
      <w:r>
        <w:t xml:space="preserve"> от 26.12.2024 N 621-ОЗ "Об установлении на территории Новгородской области квоты для приема на работу граждан, завершивших военную служ</w:t>
      </w:r>
      <w:r>
        <w:t>бу" Правительство Новгородской области постановляет: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29" w:tooltip="ПОРЯДОК">
        <w:r>
          <w:rPr>
            <w:color w:val="0000FF"/>
          </w:rPr>
          <w:t>Порядок</w:t>
        </w:r>
      </w:hyperlink>
      <w:r>
        <w:t xml:space="preserve"> выделения работодателем рабочего места в пределах установленной квоты и выполнения работодателями квоты для приема на работу граждан, завершивших военную службу.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2. Постановление вступает в силу с 01 марта 2026 года и действует до 01 марта 2032 года.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3. О</w:t>
      </w:r>
      <w:r>
        <w:t>публиковать постановление на "Официальном интернет-портале правовой информации" (</w:t>
      </w:r>
      <w:hyperlink r:id="rId11">
        <w:r>
          <w:rPr>
            <w:color w:val="0000FF"/>
          </w:rPr>
          <w:t>www.pravo.gov.ru</w:t>
        </w:r>
      </w:hyperlink>
      <w:r>
        <w:t>).</w:t>
      </w:r>
    </w:p>
    <w:p w:rsidR="004D338A" w:rsidRDefault="004D338A">
      <w:pPr>
        <w:pStyle w:val="ConsPlusNormal0"/>
        <w:jc w:val="both"/>
      </w:pPr>
    </w:p>
    <w:p w:rsidR="004D338A" w:rsidRDefault="00307276">
      <w:pPr>
        <w:pStyle w:val="ConsPlusNormal0"/>
        <w:jc w:val="right"/>
      </w:pPr>
      <w:r>
        <w:t>Временно исполняющий обязанности</w:t>
      </w:r>
    </w:p>
    <w:p w:rsidR="004D338A" w:rsidRDefault="00307276">
      <w:pPr>
        <w:pStyle w:val="ConsPlusNormal0"/>
        <w:jc w:val="right"/>
      </w:pPr>
      <w:r>
        <w:t>Губернатора Новгородской области</w:t>
      </w:r>
    </w:p>
    <w:p w:rsidR="004D338A" w:rsidRDefault="00307276">
      <w:pPr>
        <w:pStyle w:val="ConsPlusNormal0"/>
        <w:jc w:val="right"/>
      </w:pPr>
      <w:r>
        <w:t>А.В.ДРОНОВ</w:t>
      </w:r>
    </w:p>
    <w:p w:rsidR="004D338A" w:rsidRDefault="004D338A">
      <w:pPr>
        <w:pStyle w:val="ConsPlusNormal0"/>
        <w:jc w:val="both"/>
      </w:pPr>
    </w:p>
    <w:p w:rsidR="004D338A" w:rsidRDefault="004D338A">
      <w:pPr>
        <w:pStyle w:val="ConsPlusNormal0"/>
        <w:jc w:val="both"/>
      </w:pPr>
    </w:p>
    <w:p w:rsidR="004D338A" w:rsidRDefault="004D338A">
      <w:pPr>
        <w:pStyle w:val="ConsPlusNormal0"/>
        <w:jc w:val="both"/>
      </w:pPr>
    </w:p>
    <w:p w:rsidR="004D338A" w:rsidRDefault="004D338A">
      <w:pPr>
        <w:pStyle w:val="ConsPlusNormal0"/>
        <w:jc w:val="both"/>
      </w:pPr>
    </w:p>
    <w:p w:rsidR="004D338A" w:rsidRDefault="004D338A">
      <w:pPr>
        <w:pStyle w:val="ConsPlusNormal0"/>
        <w:jc w:val="both"/>
      </w:pPr>
    </w:p>
    <w:p w:rsidR="004D338A" w:rsidRDefault="00307276">
      <w:pPr>
        <w:pStyle w:val="ConsPlusNormal0"/>
        <w:jc w:val="right"/>
        <w:outlineLvl w:val="0"/>
      </w:pPr>
      <w:r>
        <w:t>Утвержден</w:t>
      </w:r>
    </w:p>
    <w:p w:rsidR="004D338A" w:rsidRDefault="00307276">
      <w:pPr>
        <w:pStyle w:val="ConsPlusNormal0"/>
        <w:jc w:val="right"/>
      </w:pPr>
      <w:r>
        <w:t>постановлением</w:t>
      </w:r>
    </w:p>
    <w:p w:rsidR="004D338A" w:rsidRDefault="00307276">
      <w:pPr>
        <w:pStyle w:val="ConsPlusNormal0"/>
        <w:jc w:val="right"/>
      </w:pPr>
      <w:r>
        <w:t>Правительств</w:t>
      </w:r>
      <w:r>
        <w:t>а Новгородской области</w:t>
      </w:r>
    </w:p>
    <w:p w:rsidR="004D338A" w:rsidRDefault="00307276">
      <w:pPr>
        <w:pStyle w:val="ConsPlusNormal0"/>
        <w:jc w:val="right"/>
      </w:pPr>
      <w:r>
        <w:t>от 07.07.2025 N 240</w:t>
      </w:r>
    </w:p>
    <w:p w:rsidR="004D338A" w:rsidRDefault="004D338A">
      <w:pPr>
        <w:pStyle w:val="ConsPlusNormal0"/>
        <w:jc w:val="both"/>
      </w:pPr>
    </w:p>
    <w:p w:rsidR="004D338A" w:rsidRDefault="00307276">
      <w:pPr>
        <w:pStyle w:val="ConsPlusTitle0"/>
        <w:jc w:val="center"/>
      </w:pPr>
      <w:bookmarkStart w:id="1" w:name="P29"/>
      <w:bookmarkEnd w:id="1"/>
      <w:r>
        <w:t>ПОРЯДОК</w:t>
      </w:r>
    </w:p>
    <w:p w:rsidR="004D338A" w:rsidRDefault="00307276">
      <w:pPr>
        <w:pStyle w:val="ConsPlusTitle0"/>
        <w:jc w:val="center"/>
      </w:pPr>
      <w:r>
        <w:t>ВЫДЕЛЕНИЯ РАБОТОДАТЕЛЕМ РАБОЧЕГО МЕСТА В ПРЕДЕЛАХ</w:t>
      </w:r>
    </w:p>
    <w:p w:rsidR="004D338A" w:rsidRDefault="00307276">
      <w:pPr>
        <w:pStyle w:val="ConsPlusTitle0"/>
        <w:jc w:val="center"/>
      </w:pPr>
      <w:r>
        <w:t>УСТАНОВЛЕННОЙ КВОТЫ И ВЫПОЛНЕНИЯ РАБОТОДАТЕЛЯМИ КВОТЫ</w:t>
      </w:r>
    </w:p>
    <w:p w:rsidR="004D338A" w:rsidRDefault="00307276">
      <w:pPr>
        <w:pStyle w:val="ConsPlusTitle0"/>
        <w:jc w:val="center"/>
      </w:pPr>
      <w:r>
        <w:t>ДЛЯ ПРИЕМА НА РАБОТУ ГРАЖДАН, ЗАВЕРШИВШИХ ВОЕННУЮ СЛУЖБУ</w:t>
      </w:r>
    </w:p>
    <w:p w:rsidR="004D338A" w:rsidRDefault="004D338A">
      <w:pPr>
        <w:pStyle w:val="ConsPlusNormal0"/>
        <w:jc w:val="both"/>
      </w:pPr>
    </w:p>
    <w:p w:rsidR="004D338A" w:rsidRDefault="00307276">
      <w:pPr>
        <w:pStyle w:val="ConsPlusNormal0"/>
        <w:ind w:firstLine="540"/>
        <w:jc w:val="both"/>
      </w:pPr>
      <w:r>
        <w:t>1. Порядок выделения работодателем рабочег</w:t>
      </w:r>
      <w:r>
        <w:t xml:space="preserve">о места в пределах установленной квоты и выполнения работодателями квоты для приема на работу граждан, завершивших военную службу (далее Порядок), разработан в соответствии с областным </w:t>
      </w:r>
      <w:hyperlink r:id="rId12" w:tooltip="Областной закон Новгородской области от 26.12.2024 N 621-ОЗ &quot;Об установлении на территории Новгородской области квоты для приема на работу граждан, завершивших военную службу&quot; (принят Постановлением Новгородской областной Думы от 25.12.2024 N 947-7 ОД) {Консул">
        <w:r>
          <w:rPr>
            <w:color w:val="0000FF"/>
          </w:rPr>
          <w:t>законом</w:t>
        </w:r>
      </w:hyperlink>
      <w:r>
        <w:t xml:space="preserve"> от 26.12.2024 N 621-ОЗ "Об установлении на территории Новгородской области квоты для приема на работу граждан, завершивших военную службу" (далее областной закон "Об установлении на терри</w:t>
      </w:r>
      <w:r>
        <w:t xml:space="preserve">тории </w:t>
      </w:r>
      <w:r>
        <w:lastRenderedPageBreak/>
        <w:t>Новгородской области квоты для приема на работу граждан, завершивших военную службу") и определяет механизм выделения работодателем рабочего места в пределах установленной квоты и выполнения работодателями квоты для приема на работу граждан, завершив</w:t>
      </w:r>
      <w:r>
        <w:t>ших военную службу.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 xml:space="preserve">2. Понятия, используемые в Порядке, применяются в значениях, определенных законодательством Российской Федерации и областным </w:t>
      </w:r>
      <w:hyperlink r:id="rId13" w:tooltip="Областной закон Новгородской области от 26.12.2024 N 621-ОЗ &quot;Об установлении на территории Новгородской области квоты для приема на работу граждан, завершивших военную службу&quot; (принят Постановлением Новгородской областной Думы от 25.12.2024 N 947-7 ОД) {Консул">
        <w:r>
          <w:rPr>
            <w:color w:val="0000FF"/>
          </w:rPr>
          <w:t>законом</w:t>
        </w:r>
      </w:hyperlink>
      <w:r>
        <w:t xml:space="preserve"> "Об установлении на территории Новгородской области квоты для приема на работу граждан, завершивших военную службу".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3. Квота устанавливается для граждан, завершивших военную службу, постоянно проживающих на территории Новгородской области, имеющих право на осуществление трудовой деятельности в соответствии с федеральными законами или международными договорами Российской</w:t>
      </w:r>
      <w:r>
        <w:t xml:space="preserve"> Федерации и обратившихся за трудоустройством на квотируемое место в течение 3 лет после завершения ими военной службы.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 xml:space="preserve">4. Квота устанавливается работодателям в размере одного процента от среднесписочной численности работающих, но не менее одного рабочего </w:t>
      </w:r>
      <w:r>
        <w:t>места.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5. Под установлением квоты понимается количество рабочих мест, как уже замещенных гражданами, завершившими военную службу, так и рабочих мест, которые вакантны и заявлены в государственное областное казенное учреждение "Центр занятости населения Нов</w:t>
      </w:r>
      <w:r>
        <w:t>городской области" (далее центр занятости) как рабочие места для граждан, завершивших военную службу.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В указанное количество рабочих мест не включаются рабочие места, сохраненные за работниками на период приостановления действия трудового договора в соотве</w:t>
      </w:r>
      <w:r>
        <w:t xml:space="preserve">тствии со </w:t>
      </w:r>
      <w:hyperlink r:id="rId14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статьей 351.7</w:t>
        </w:r>
      </w:hyperlink>
      <w:r>
        <w:t xml:space="preserve"> Трудового </w:t>
      </w:r>
      <w:r>
        <w:t>кодекса Российской Федерации.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6. При установлении квоты для приема на работу граждан, завершивших военную службу, работодатель вправе в среднесписочную численность работников не включать работников, условия труда на рабочих местах которых отнесены к вредны</w:t>
      </w:r>
      <w:r>
        <w:t>м и (или) опасным условиям труда по результатам специальной оценки условий труда, работников, трудоустроенных на ранее установленные квоты.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7. С целью выделения рабочего места в пределах установленной квоты работодателем ежеквартально до 10 числа месяца, с</w:t>
      </w:r>
      <w:r>
        <w:t>ледующего за отчетным кварталом, рассчитывается численность работников, которые должны быть трудоустроены на выделенные рабочие места, исходя из среднесписочной численности работников за предыдущий квартал.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8. Для юридического лица (организации) среднеспис</w:t>
      </w:r>
      <w:r>
        <w:t>очная численность работников определяется за предыдущий квартал без учета работников представительств и филиалов работодателя, расположенных в других субъектах Российской Федерации.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 xml:space="preserve">9. Квота устанавливается работодателям со среднесписочной численностью от </w:t>
      </w:r>
      <w:r>
        <w:t xml:space="preserve">35 человек. При расчете численности работников для приема на работу в счет установленной квоты округление дробного числа производится в сторону уменьшения до целого значения. В случае если размер рассчитанной квоты менее единицы значение квоты принимается </w:t>
      </w:r>
      <w:r>
        <w:t>равным единице.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 xml:space="preserve">10. Сведения о вакантных рабочих местах и вакантных должностях для граждан, завершивших военную службу, работодатели размещают на Единой цифровой платформе в сфере </w:t>
      </w:r>
      <w:r>
        <w:lastRenderedPageBreak/>
        <w:t xml:space="preserve">занятости и трудовых отношений "Работа в России" или на иных информационных </w:t>
      </w:r>
      <w:r>
        <w:t>ресурсах, на которых может размещаться такая информация в соответствии с законодательством Российской Федерации.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11. Квота не устанавливается следующим категориям работодателей: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общественным объединениям инвалидов и образованным ими организациям, в том чис</w:t>
      </w:r>
      <w:r>
        <w:t>ле хозяйственным товариществам и обществам, уставный (складочный) капитал которых состоит из вклада общественного объединения инвалидов;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организациям, в отношении которых возбуждено дело о несостоятельности (банкротстве), в том числе организациям, в отноше</w:t>
      </w:r>
      <w:r>
        <w:t>нии которых введены процедуры наблюдения или финансового оздоровления, организациям, признанным несостоятельными (банкротом);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организациям, проводящим или планирующим массовые высвобождения работников.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12. Работодатель освобождается от выполнения установле</w:t>
      </w:r>
      <w:r>
        <w:t>нной квоты при уменьшении численности работников до числа работников, при котором квота не устанавливается.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13. Выполнением квоты считается трудоустройство работодателем гражданина, завершившего военную службу, подтвержденное заключением трудового договора</w:t>
      </w:r>
      <w:r>
        <w:t>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14. Работодатели вправе обратиться в центр занятости за содействием в расчете квоты и в подборе работников из числа граждан, завершивших военную службу, на вакантные рабочие места.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15. В случае обращения работодателя в центр занятости указанное учреждени</w:t>
      </w:r>
      <w:r>
        <w:t>е оказывает содействие в расчете квоты и в подборе работников из числа граждан, завершивших военную службу, зарегистрированных в центре занятости в качестве безработных или состоящих на учете в центре занятости в качестве ищущих работу.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 xml:space="preserve">16. При отсутствии </w:t>
      </w:r>
      <w:r>
        <w:t>на учете в центре занятости безработных граждан, завершивших военную службу, и граждан, завершивших военную службу, зарегистрированных в качестве ищущих работу, соответствующих профессионально-квалификационным требованиям к вакансиям, заявленным работодате</w:t>
      </w:r>
      <w:r>
        <w:t>лем, центр занятости информирует работодателя о невозможности выполнения квоты в текущем квартале при содействии центра занятости.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17. Работодатель освобождается от административной ответственности при отсутствии на учете в центре занятости безработных гра</w:t>
      </w:r>
      <w:r>
        <w:t>ждан, завершивших военную службу, граждан, завершивших военную службу, зарегистрированных в качестве ищущих работу, а также граждан указанной категории, самостоятельно ищущих работу, соответствующих профессионально-квалификационным требованиям к вакансиям,</w:t>
      </w:r>
      <w:r>
        <w:t xml:space="preserve"> заявленным работодателем.</w:t>
      </w:r>
    </w:p>
    <w:p w:rsidR="004D338A" w:rsidRDefault="00307276">
      <w:pPr>
        <w:pStyle w:val="ConsPlusNormal0"/>
        <w:spacing w:before="240"/>
        <w:ind w:firstLine="540"/>
        <w:jc w:val="both"/>
      </w:pPr>
      <w:bookmarkStart w:id="2" w:name="P55"/>
      <w:bookmarkEnd w:id="2"/>
      <w:r>
        <w:t>18. О выполнении квоты для приема на работу граждан, завершивших военную службу, работодатель обязан информировать центр занятости ежеквартально не позднее десятого числа месяца, следующего за отчетным.</w:t>
      </w:r>
    </w:p>
    <w:p w:rsidR="004D338A" w:rsidRDefault="00307276">
      <w:pPr>
        <w:pStyle w:val="ConsPlusNormal0"/>
        <w:spacing w:before="240"/>
        <w:ind w:firstLine="540"/>
        <w:jc w:val="both"/>
      </w:pPr>
      <w:hyperlink w:anchor="P72" w:tooltip="ИНФОРМАЦИЯ">
        <w:r>
          <w:rPr>
            <w:color w:val="0000FF"/>
          </w:rPr>
          <w:t>Информация</w:t>
        </w:r>
      </w:hyperlink>
      <w:r>
        <w:t xml:space="preserve">, предусмотренная </w:t>
      </w:r>
      <w:hyperlink w:anchor="P55" w:tooltip="18. О выполнении квоты для приема на работу граждан, завершивших военную службу, работодатель обязан информировать центр занятости ежеквартально не позднее десятого числа месяца, следующего за отчетным.">
        <w:r>
          <w:rPr>
            <w:color w:val="0000FF"/>
          </w:rPr>
          <w:t>первым абзацем</w:t>
        </w:r>
      </w:hyperlink>
      <w:r>
        <w:t xml:space="preserve"> настоящего пункта, представляется </w:t>
      </w:r>
      <w:r>
        <w:lastRenderedPageBreak/>
        <w:t>работодателями в центр занятости по форме согласно приложению к настоящему Порядку в виде почтового отправления либо в форме электронных документов с использованием информационно-телеко</w:t>
      </w:r>
      <w:r>
        <w:t>ммуникационной сети "Интернет", либо работодателем (уполномоченным представителем работодателя) лично.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Работодатели обеспечивают полноту, достоверность и актуальность информации о выполнении квоты для приема на работу граждан, завершивших военную службу.</w:t>
      </w:r>
    </w:p>
    <w:p w:rsidR="004D338A" w:rsidRDefault="00307276">
      <w:pPr>
        <w:pStyle w:val="ConsPlusNormal0"/>
        <w:spacing w:before="240"/>
        <w:ind w:firstLine="540"/>
        <w:jc w:val="both"/>
      </w:pPr>
      <w:r>
        <w:t>1</w:t>
      </w:r>
      <w:r>
        <w:t xml:space="preserve">9. Невыделение работодателем рабочего места в пределах установленной квоты и невыполнение работодателем квоты для приема на работу граждан, завершивших военную службу, влечет административную ответственность в соответствии с областным законодательством об </w:t>
      </w:r>
      <w:r>
        <w:t>административных правонарушениях.</w:t>
      </w:r>
    </w:p>
    <w:p w:rsidR="004D338A" w:rsidRDefault="004D338A">
      <w:pPr>
        <w:pStyle w:val="ConsPlusNormal0"/>
        <w:jc w:val="both"/>
      </w:pPr>
    </w:p>
    <w:p w:rsidR="004D338A" w:rsidRDefault="004D338A">
      <w:pPr>
        <w:pStyle w:val="ConsPlusNormal0"/>
        <w:jc w:val="both"/>
      </w:pPr>
    </w:p>
    <w:p w:rsidR="004D338A" w:rsidRDefault="004D338A">
      <w:pPr>
        <w:pStyle w:val="ConsPlusNormal0"/>
        <w:jc w:val="both"/>
      </w:pPr>
    </w:p>
    <w:p w:rsidR="004D338A" w:rsidRDefault="004D338A">
      <w:pPr>
        <w:pStyle w:val="ConsPlusNormal0"/>
        <w:jc w:val="both"/>
      </w:pPr>
    </w:p>
    <w:p w:rsidR="004D338A" w:rsidRDefault="004D338A">
      <w:pPr>
        <w:pStyle w:val="ConsPlusNormal0"/>
        <w:jc w:val="both"/>
      </w:pPr>
    </w:p>
    <w:p w:rsidR="004D338A" w:rsidRDefault="00307276">
      <w:pPr>
        <w:pStyle w:val="ConsPlusNormal0"/>
        <w:jc w:val="right"/>
        <w:outlineLvl w:val="1"/>
      </w:pPr>
      <w:r>
        <w:t>Приложение</w:t>
      </w:r>
    </w:p>
    <w:p w:rsidR="004D338A" w:rsidRDefault="00307276">
      <w:pPr>
        <w:pStyle w:val="ConsPlusNormal0"/>
        <w:jc w:val="right"/>
      </w:pPr>
      <w:r>
        <w:t>к Порядку</w:t>
      </w:r>
    </w:p>
    <w:p w:rsidR="004D338A" w:rsidRDefault="00307276">
      <w:pPr>
        <w:pStyle w:val="ConsPlusNormal0"/>
        <w:jc w:val="right"/>
      </w:pPr>
      <w:r>
        <w:t>выделения работодателем рабочего</w:t>
      </w:r>
    </w:p>
    <w:p w:rsidR="004D338A" w:rsidRDefault="00307276">
      <w:pPr>
        <w:pStyle w:val="ConsPlusNormal0"/>
        <w:jc w:val="right"/>
      </w:pPr>
      <w:r>
        <w:t>места в пределах установленной квоты</w:t>
      </w:r>
    </w:p>
    <w:p w:rsidR="004D338A" w:rsidRDefault="00307276">
      <w:pPr>
        <w:pStyle w:val="ConsPlusNormal0"/>
        <w:jc w:val="right"/>
      </w:pPr>
      <w:r>
        <w:t>и выполнения работодателями квоты</w:t>
      </w:r>
    </w:p>
    <w:p w:rsidR="004D338A" w:rsidRDefault="00307276">
      <w:pPr>
        <w:pStyle w:val="ConsPlusNormal0"/>
        <w:jc w:val="right"/>
      </w:pPr>
      <w:r>
        <w:t>для приема на работу граждан,</w:t>
      </w:r>
    </w:p>
    <w:p w:rsidR="004D338A" w:rsidRDefault="00307276">
      <w:pPr>
        <w:pStyle w:val="ConsPlusNormal0"/>
        <w:jc w:val="right"/>
      </w:pPr>
      <w:r>
        <w:t>завершивших военную службу</w:t>
      </w:r>
    </w:p>
    <w:p w:rsidR="004D338A" w:rsidRDefault="004D338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2"/>
        <w:gridCol w:w="657"/>
        <w:gridCol w:w="310"/>
        <w:gridCol w:w="1486"/>
        <w:gridCol w:w="136"/>
        <w:gridCol w:w="149"/>
        <w:gridCol w:w="484"/>
        <w:gridCol w:w="1035"/>
        <w:gridCol w:w="1208"/>
        <w:gridCol w:w="781"/>
        <w:gridCol w:w="1983"/>
      </w:tblGrid>
      <w:tr w:rsidR="004D338A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jc w:val="center"/>
            </w:pPr>
            <w:bookmarkStart w:id="3" w:name="P72"/>
            <w:bookmarkEnd w:id="3"/>
            <w:r>
              <w:t>ИНФОРМАЦИЯ</w:t>
            </w:r>
          </w:p>
          <w:p w:rsidR="004D338A" w:rsidRDefault="00307276">
            <w:pPr>
              <w:pStyle w:val="ConsPlusNormal0"/>
              <w:jc w:val="center"/>
            </w:pPr>
            <w:r>
              <w:t>о выполнении квоты для приема на работу граждан, завершивших военную службу</w:t>
            </w:r>
          </w:p>
        </w:tc>
      </w:tr>
      <w:tr w:rsidR="004D338A">
        <w:tblPrEx>
          <w:tblBorders>
            <w:insideV w:val="single" w:sz="4" w:space="0" w:color="auto"/>
          </w:tblBorders>
        </w:tblPrEx>
        <w:tc>
          <w:tcPr>
            <w:tcW w:w="1499" w:type="dxa"/>
            <w:gridSpan w:val="2"/>
            <w:tcBorders>
              <w:top w:val="nil"/>
              <w:left w:val="nil"/>
              <w:bottom w:val="nil"/>
            </w:tcBorders>
          </w:tcPr>
          <w:p w:rsidR="004D338A" w:rsidRDefault="004D338A">
            <w:pPr>
              <w:pStyle w:val="ConsPlusNormal0"/>
            </w:pPr>
          </w:p>
        </w:tc>
        <w:tc>
          <w:tcPr>
            <w:tcW w:w="558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338A" w:rsidRDefault="004D338A">
            <w:pPr>
              <w:pStyle w:val="ConsPlusNormal0"/>
            </w:pPr>
          </w:p>
        </w:tc>
        <w:tc>
          <w:tcPr>
            <w:tcW w:w="1983" w:type="dxa"/>
            <w:tcBorders>
              <w:top w:val="nil"/>
              <w:bottom w:val="nil"/>
              <w:right w:val="nil"/>
            </w:tcBorders>
          </w:tcPr>
          <w:p w:rsidR="004D338A" w:rsidRDefault="004D338A">
            <w:pPr>
              <w:pStyle w:val="ConsPlusNormal0"/>
            </w:pPr>
          </w:p>
        </w:tc>
      </w:tr>
      <w:tr w:rsidR="004D338A"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38A" w:rsidRDefault="004D338A">
            <w:pPr>
              <w:pStyle w:val="ConsPlusNormal0"/>
            </w:pPr>
          </w:p>
        </w:tc>
        <w:tc>
          <w:tcPr>
            <w:tcW w:w="558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jc w:val="center"/>
            </w:pPr>
            <w:r>
              <w:t>отчетный период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4D338A" w:rsidRDefault="004D338A">
            <w:pPr>
              <w:pStyle w:val="ConsPlusNormal0"/>
            </w:pPr>
          </w:p>
        </w:tc>
      </w:tr>
      <w:tr w:rsidR="004D338A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t>1. Полное наименование организации/фамилия, имя, отчество (при наличии)</w:t>
            </w:r>
          </w:p>
        </w:tc>
      </w:tr>
      <w:tr w:rsidR="004D338A">
        <w:tc>
          <w:tcPr>
            <w:tcW w:w="40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</w:pPr>
            <w:r>
              <w:t>индивидуального предпринимателя</w:t>
            </w:r>
          </w:p>
        </w:tc>
        <w:tc>
          <w:tcPr>
            <w:tcW w:w="50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338A" w:rsidRDefault="00307276">
            <w:pPr>
              <w:pStyle w:val="ConsPlusNormal0"/>
              <w:jc w:val="right"/>
            </w:pPr>
            <w:r>
              <w:t>.</w:t>
            </w:r>
          </w:p>
        </w:tc>
      </w:tr>
      <w:tr w:rsidR="004D338A">
        <w:tc>
          <w:tcPr>
            <w:tcW w:w="630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t>2. Индивидуальный номер налогоплательщика (ИНН)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338A" w:rsidRDefault="00307276">
            <w:pPr>
              <w:pStyle w:val="ConsPlusNormal0"/>
              <w:jc w:val="right"/>
            </w:pPr>
            <w:r>
              <w:t>.</w:t>
            </w:r>
          </w:p>
        </w:tc>
      </w:tr>
      <w:tr w:rsidR="004D338A">
        <w:tc>
          <w:tcPr>
            <w:tcW w:w="50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t>3. Код причины постановки на учет (КПП)</w:t>
            </w:r>
          </w:p>
        </w:tc>
        <w:tc>
          <w:tcPr>
            <w:tcW w:w="3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338A" w:rsidRDefault="00307276">
            <w:pPr>
              <w:pStyle w:val="ConsPlusNormal0"/>
              <w:jc w:val="right"/>
            </w:pPr>
            <w:r>
              <w:t>.</w:t>
            </w:r>
          </w:p>
        </w:tc>
      </w:tr>
      <w:tr w:rsidR="004D338A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t>4. Адрес в пределах места нахождения организации/адрес места жительства индивидуального предпринимателя:</w:t>
            </w:r>
          </w:p>
        </w:tc>
      </w:tr>
      <w:tr w:rsidR="004D338A">
        <w:tc>
          <w:tcPr>
            <w:tcW w:w="35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t>4.1. Район, населенный пункт</w:t>
            </w:r>
          </w:p>
        </w:tc>
        <w:tc>
          <w:tcPr>
            <w:tcW w:w="5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338A" w:rsidRDefault="00307276">
            <w:pPr>
              <w:pStyle w:val="ConsPlusNormal0"/>
              <w:jc w:val="right"/>
            </w:pPr>
            <w:r>
              <w:t>;</w:t>
            </w:r>
          </w:p>
        </w:tc>
      </w:tr>
      <w:tr w:rsidR="004D338A"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t>4.2. Улица</w:t>
            </w:r>
          </w:p>
        </w:tc>
        <w:tc>
          <w:tcPr>
            <w:tcW w:w="75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338A" w:rsidRDefault="00307276">
            <w:pPr>
              <w:pStyle w:val="ConsPlusNormal0"/>
              <w:jc w:val="right"/>
            </w:pPr>
            <w:r>
              <w:t>;</w:t>
            </w:r>
          </w:p>
        </w:tc>
      </w:tr>
      <w:tr w:rsidR="004D338A"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t>4.3. Дом, корпус, строение</w:t>
            </w:r>
          </w:p>
        </w:tc>
        <w:tc>
          <w:tcPr>
            <w:tcW w:w="5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338A" w:rsidRDefault="00307276">
            <w:pPr>
              <w:pStyle w:val="ConsPlusNormal0"/>
              <w:jc w:val="right"/>
            </w:pPr>
            <w:r>
              <w:t>;</w:t>
            </w:r>
          </w:p>
        </w:tc>
      </w:tr>
      <w:tr w:rsidR="004D338A">
        <w:tc>
          <w:tcPr>
            <w:tcW w:w="34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lastRenderedPageBreak/>
              <w:t>4.4. Номер офиса, квартиры</w:t>
            </w: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338A" w:rsidRDefault="00307276">
            <w:pPr>
              <w:pStyle w:val="ConsPlusNormal0"/>
              <w:jc w:val="right"/>
            </w:pPr>
            <w:r>
              <w:t>.</w:t>
            </w:r>
          </w:p>
        </w:tc>
      </w:tr>
      <w:tr w:rsidR="004D338A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t>5. Место осуществления трудовой деятельности работниками:</w:t>
            </w:r>
          </w:p>
        </w:tc>
      </w:tr>
      <w:tr w:rsidR="004D338A">
        <w:tc>
          <w:tcPr>
            <w:tcW w:w="35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t>5.1. Район, населенный пункт</w:t>
            </w:r>
          </w:p>
        </w:tc>
        <w:tc>
          <w:tcPr>
            <w:tcW w:w="5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338A" w:rsidRDefault="00307276">
            <w:pPr>
              <w:pStyle w:val="ConsPlusNormal0"/>
              <w:jc w:val="right"/>
            </w:pPr>
            <w:r>
              <w:t>;</w:t>
            </w:r>
          </w:p>
        </w:tc>
      </w:tr>
      <w:tr w:rsidR="004D338A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t>5.2. Наименование филиала, представительства организации (при наличии)</w:t>
            </w:r>
          </w:p>
        </w:tc>
      </w:tr>
      <w:tr w:rsidR="004D338A">
        <w:tc>
          <w:tcPr>
            <w:tcW w:w="90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338A" w:rsidRDefault="00307276">
            <w:pPr>
              <w:pStyle w:val="ConsPlusNormal0"/>
              <w:jc w:val="right"/>
            </w:pPr>
            <w:r>
              <w:t>.</w:t>
            </w:r>
          </w:p>
        </w:tc>
      </w:tr>
      <w:tr w:rsidR="004D338A">
        <w:tc>
          <w:tcPr>
            <w:tcW w:w="907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t>6. Наименование государственного учреждения службы занятости, в которое представляется информация (по месту осуществления трудовой деятельности работниками).</w:t>
            </w:r>
          </w:p>
        </w:tc>
      </w:tr>
      <w:tr w:rsidR="004D338A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t>7. Среднесписочная численность работников за предыдущий квартал (без учета работников, условия тр</w:t>
            </w:r>
            <w:r>
              <w:t>уда которых отнесены к вредным и (или) опасным условиям труда по результатам специальной оценки условий труда) &lt;1&gt;, - ___________ человек.</w:t>
            </w:r>
          </w:p>
        </w:tc>
      </w:tr>
      <w:tr w:rsidR="004D338A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t>8. Среднесписочная численность работников за прошедший месяц (без учета работников, условия труда которых отнесены к</w:t>
            </w:r>
            <w:r>
              <w:t xml:space="preserve"> вредным и (или) опасным условиям труда по результатам специальной оценки условий труда) ___________, - человек &lt;1&gt;, &lt;2&gt;.</w:t>
            </w:r>
          </w:p>
        </w:tc>
      </w:tr>
      <w:tr w:rsidR="004D338A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t>9. Размер квоты для приема на работу граждан, завершивших военную службу, установленной законодательством субъекта Российской Федерац</w:t>
            </w:r>
            <w:r>
              <w:t>ии, - ___________ человек.</w:t>
            </w:r>
          </w:p>
        </w:tc>
      </w:tr>
      <w:tr w:rsidR="004D338A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t>10. Численность работников, работавших в счет квоты в отчетном периоде, всего - ___________ человек.</w:t>
            </w:r>
          </w:p>
        </w:tc>
      </w:tr>
      <w:tr w:rsidR="004D338A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t>11. Численность граждан, завершивших военную службу, работающих сверх установленной квоты на конец отчетного периода, - ________ человек.</w:t>
            </w:r>
          </w:p>
        </w:tc>
      </w:tr>
      <w:tr w:rsidR="004D338A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338A" w:rsidRDefault="004D338A">
            <w:pPr>
              <w:pStyle w:val="ConsPlusNormal0"/>
            </w:pPr>
          </w:p>
        </w:tc>
      </w:tr>
      <w:tr w:rsidR="004D338A"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jc w:val="both"/>
            </w:pPr>
            <w:r>
              <w:t>Исполнитель</w:t>
            </w:r>
          </w:p>
        </w:tc>
        <w:tc>
          <w:tcPr>
            <w:tcW w:w="72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38A" w:rsidRDefault="004D338A">
            <w:pPr>
              <w:pStyle w:val="ConsPlusNormal0"/>
            </w:pPr>
          </w:p>
        </w:tc>
      </w:tr>
      <w:tr w:rsidR="004D338A"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338A" w:rsidRDefault="004D338A">
            <w:pPr>
              <w:pStyle w:val="ConsPlusNormal0"/>
            </w:pPr>
          </w:p>
        </w:tc>
        <w:tc>
          <w:tcPr>
            <w:tcW w:w="72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jc w:val="center"/>
            </w:pPr>
            <w:r>
              <w:t>(Ф.И.О., должность, контактный телефон)</w:t>
            </w:r>
          </w:p>
        </w:tc>
      </w:tr>
      <w:tr w:rsidR="004D338A"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jc w:val="both"/>
            </w:pPr>
            <w:r>
              <w:t>Руководитель</w:t>
            </w:r>
          </w:p>
        </w:tc>
        <w:tc>
          <w:tcPr>
            <w:tcW w:w="72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38A" w:rsidRDefault="004D338A">
            <w:pPr>
              <w:pStyle w:val="ConsPlusNormal0"/>
            </w:pPr>
          </w:p>
        </w:tc>
      </w:tr>
      <w:tr w:rsidR="004D338A"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338A" w:rsidRDefault="004D338A">
            <w:pPr>
              <w:pStyle w:val="ConsPlusNormal0"/>
            </w:pPr>
          </w:p>
        </w:tc>
        <w:tc>
          <w:tcPr>
            <w:tcW w:w="72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jc w:val="center"/>
            </w:pPr>
            <w:r>
              <w:t>(подпись, Ф.И.О.)</w:t>
            </w:r>
          </w:p>
        </w:tc>
      </w:tr>
      <w:tr w:rsidR="004D338A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</w:pPr>
            <w:r>
              <w:t>"___"</w:t>
            </w:r>
            <w:r>
              <w:t xml:space="preserve"> _____________ 20___ года</w:t>
            </w:r>
          </w:p>
        </w:tc>
      </w:tr>
      <w:tr w:rsidR="004D338A"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4D338A" w:rsidRDefault="004D338A">
            <w:pPr>
              <w:pStyle w:val="ConsPlusNormal0"/>
            </w:pPr>
          </w:p>
        </w:tc>
        <w:tc>
          <w:tcPr>
            <w:tcW w:w="2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jc w:val="center"/>
            </w:pPr>
            <w:r>
              <w:t>М.П.</w:t>
            </w:r>
          </w:p>
          <w:p w:rsidR="004D338A" w:rsidRDefault="00307276">
            <w:pPr>
              <w:pStyle w:val="ConsPlusNormal0"/>
              <w:jc w:val="center"/>
            </w:pPr>
            <w:r>
              <w:t>(при наличии)</w:t>
            </w:r>
          </w:p>
        </w:tc>
        <w:tc>
          <w:tcPr>
            <w:tcW w:w="5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338A" w:rsidRDefault="004D338A">
            <w:pPr>
              <w:pStyle w:val="ConsPlusNormal0"/>
            </w:pPr>
          </w:p>
        </w:tc>
      </w:tr>
      <w:tr w:rsidR="004D338A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338A" w:rsidRDefault="00307276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4D338A" w:rsidRDefault="00307276">
            <w:pPr>
              <w:pStyle w:val="ConsPlusNormal0"/>
              <w:ind w:firstLine="283"/>
              <w:jc w:val="both"/>
            </w:pPr>
            <w:r>
              <w:t>&lt;1&gt; - без учета работников представительств и филиалов работодателя, которые расположены в других субъектах Российской Федерации.</w:t>
            </w:r>
          </w:p>
          <w:p w:rsidR="004D338A" w:rsidRDefault="00307276">
            <w:pPr>
              <w:pStyle w:val="ConsPlusNormal0"/>
              <w:ind w:firstLine="283"/>
              <w:jc w:val="both"/>
            </w:pPr>
            <w:r>
              <w:lastRenderedPageBreak/>
              <w:t>&lt;2&gt;</w:t>
            </w:r>
            <w:r>
              <w:t xml:space="preserve"> - заполняется в случае уменьшения среднесписочной численности работников.</w:t>
            </w:r>
          </w:p>
        </w:tc>
      </w:tr>
    </w:tbl>
    <w:p w:rsidR="004D338A" w:rsidRDefault="004D338A">
      <w:pPr>
        <w:pStyle w:val="ConsPlusNormal0"/>
        <w:jc w:val="both"/>
      </w:pPr>
    </w:p>
    <w:p w:rsidR="004D338A" w:rsidRDefault="004D338A">
      <w:pPr>
        <w:pStyle w:val="ConsPlusNormal0"/>
        <w:jc w:val="both"/>
      </w:pPr>
    </w:p>
    <w:p w:rsidR="004D338A" w:rsidRDefault="004D338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D338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276" w:rsidRDefault="00307276">
      <w:r>
        <w:separator/>
      </w:r>
    </w:p>
  </w:endnote>
  <w:endnote w:type="continuationSeparator" w:id="0">
    <w:p w:rsidR="00307276" w:rsidRDefault="0030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8A" w:rsidRDefault="004D338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D338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D338A" w:rsidRDefault="0030727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4D338A" w:rsidRDefault="0030727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D338A" w:rsidRDefault="0030727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47696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47696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4D338A" w:rsidRDefault="0030727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8A" w:rsidRDefault="004D338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D338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D338A" w:rsidRDefault="0030727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D338A" w:rsidRDefault="0030727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D338A" w:rsidRDefault="0030727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4769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47696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4D338A" w:rsidRDefault="0030727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276" w:rsidRDefault="00307276">
      <w:r>
        <w:separator/>
      </w:r>
    </w:p>
  </w:footnote>
  <w:footnote w:type="continuationSeparator" w:id="0">
    <w:p w:rsidR="00307276" w:rsidRDefault="0030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D338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D338A" w:rsidRDefault="0030727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Новгородской области от 07.07.2025 N 240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выделения </w:t>
          </w:r>
          <w:r>
            <w:rPr>
              <w:rFonts w:ascii="Tahoma" w:hAnsi="Tahoma" w:cs="Tahoma"/>
              <w:sz w:val="16"/>
              <w:szCs w:val="16"/>
            </w:rPr>
            <w:t>работодателем раб...</w:t>
          </w:r>
        </w:p>
      </w:tc>
      <w:tc>
        <w:tcPr>
          <w:tcW w:w="2300" w:type="pct"/>
          <w:vAlign w:val="center"/>
        </w:tcPr>
        <w:p w:rsidR="004D338A" w:rsidRDefault="0030727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 w:rsidR="004D338A" w:rsidRDefault="004D338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D338A" w:rsidRDefault="004D338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D338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D338A" w:rsidRDefault="0030727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Новгородской области от 07.07.2025 N 240</w:t>
          </w:r>
          <w:r>
            <w:rPr>
              <w:rFonts w:ascii="Tahoma" w:hAnsi="Tahoma" w:cs="Tahoma"/>
              <w:sz w:val="16"/>
              <w:szCs w:val="16"/>
            </w:rPr>
            <w:br/>
            <w:t>"Об</w:t>
          </w:r>
          <w:r>
            <w:rPr>
              <w:rFonts w:ascii="Tahoma" w:hAnsi="Tahoma" w:cs="Tahoma"/>
              <w:sz w:val="16"/>
              <w:szCs w:val="16"/>
            </w:rPr>
            <w:t xml:space="preserve"> утверждении Порядка выделения работодателем раб...</w:t>
          </w:r>
        </w:p>
      </w:tc>
      <w:tc>
        <w:tcPr>
          <w:tcW w:w="2300" w:type="pct"/>
          <w:vAlign w:val="center"/>
        </w:tcPr>
        <w:p w:rsidR="004D338A" w:rsidRDefault="0030727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 w:rsidR="004D338A" w:rsidRDefault="004D338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D338A" w:rsidRDefault="004D338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A"/>
    <w:rsid w:val="00047696"/>
    <w:rsid w:val="00307276"/>
    <w:rsid w:val="004D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476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476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154&amp;n=114974&amp;date=26.01.2026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154&amp;n=114974&amp;date=26.01.2026&amp;dst=100021&amp;field=134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user\Downloads\www.pravo.gov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54&amp;n=114974&amp;date=26.01.2026&amp;dst=100021&amp;fie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523253&amp;date=26.01.2026&amp;dst=323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Новгородской области от 07.07.2025 N 240
"Об утверждении Порядка выделения работодателем рабочего места в пределах установленной квоты и выполнения работодателями квоты для приема на работу граждан, завершивших военную службу"</vt:lpstr>
    </vt:vector>
  </TitlesOfParts>
  <Company>КонсультантПлюс Версия 4025.00.30</Company>
  <LinksUpToDate>false</LinksUpToDate>
  <CharactersWithSpaces>12618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Новгородской области от 07.07.2025 N 240
"Об утверждении Порядка выделения работодателем рабочего места в пределах установленной квоты и выполнения работодателями квоты для приема на работу граждан, завершивших военную службу"</dc:title>
  <dc:creator>user</dc:creator>
  <cp:lastModifiedBy>user</cp:lastModifiedBy>
  <cp:revision>2</cp:revision>
  <dcterms:created xsi:type="dcterms:W3CDTF">2026-01-26T05:39:00Z</dcterms:created>
  <dcterms:modified xsi:type="dcterms:W3CDTF">2026-01-26T05:39:00Z</dcterms:modified>
</cp:coreProperties>
</file>